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222222"/>
          <w:sz w:val="21"/>
          <w:szCs w:val="21"/>
        </w:rPr>
      </w:pPr>
      <w:r w:rsidDel="00000000" w:rsidR="00000000" w:rsidRPr="00000000">
        <w:rPr>
          <w:rtl w:val="0"/>
        </w:rPr>
      </w:r>
    </w:p>
    <w:p w:rsidR="00000000" w:rsidDel="00000000" w:rsidP="00000000" w:rsidRDefault="00000000" w:rsidRPr="00000000">
      <w:pPr>
        <w:contextualSpacing w:val="0"/>
        <w:jc w:val="center"/>
        <w:rPr>
          <w:b w:val="1"/>
          <w:color w:val="222222"/>
          <w:sz w:val="21"/>
          <w:szCs w:val="21"/>
        </w:rPr>
      </w:pPr>
      <w:r w:rsidDel="00000000" w:rsidR="00000000" w:rsidRPr="00000000">
        <w:rPr>
          <w:b w:val="1"/>
          <w:color w:val="222222"/>
          <w:sz w:val="21"/>
          <w:szCs w:val="21"/>
          <w:rtl w:val="0"/>
        </w:rPr>
        <w:t xml:space="preserve">Smoke Oyster &amp; Tuna Paste Canape</w:t>
      </w:r>
    </w:p>
    <w:p w:rsidR="00000000" w:rsidDel="00000000" w:rsidP="00000000" w:rsidRDefault="00000000" w:rsidRPr="00000000">
      <w:pPr>
        <w:contextualSpacing w:val="0"/>
        <w:rPr>
          <w:b w:val="1"/>
          <w:color w:val="222222"/>
          <w:sz w:val="21"/>
          <w:szCs w:val="2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材料（４人分）</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ツナの缶詰  : １缶</w:t>
      </w:r>
      <w:r w:rsidDel="00000000" w:rsidR="00000000" w:rsidRPr="00000000">
        <w:rPr>
          <w:rFonts w:ascii="Meiryo" w:cs="Meiryo" w:eastAsia="Meiryo" w:hAnsi="Meiryo"/>
          <w:color w:val="221e0c"/>
          <w:sz w:val="21"/>
          <w:szCs w:val="21"/>
          <w:highlight w:val="white"/>
          <w:rtl w:val="0"/>
        </w:rPr>
        <w:t xml:space="preserve">（5 oz ・142g）</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スモークオイスターの缶詰:  １缶</w:t>
      </w:r>
      <w:r w:rsidDel="00000000" w:rsidR="00000000" w:rsidRPr="00000000">
        <w:rPr>
          <w:rFonts w:ascii="Meiryo" w:cs="Meiryo" w:eastAsia="Meiryo" w:hAnsi="Meiryo"/>
          <w:color w:val="221e0c"/>
          <w:sz w:val="21"/>
          <w:szCs w:val="21"/>
          <w:highlight w:val="white"/>
          <w:rtl w:val="0"/>
        </w:rPr>
        <w:t xml:space="preserve">（3.75 oz ・106g）</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ネギ：１本</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クリームチーズ：2 oz　（室温）</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マヨネーズ：大さじ２</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醤油：大さじ1.5</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パセリ：大さじ３</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セロリソルト：少々</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薄いトーストパン：適宜</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rtl w:val="0"/>
        </w:rPr>
        <w:t xml:space="preserve">ネギとパセリは細かくカットする。</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rtl w:val="0"/>
        </w:rPr>
        <w:t xml:space="preserve">ツナとスモークオイスターの缶詰はオイルまたは水を切る。</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rtl w:val="0"/>
        </w:rPr>
        <w:t xml:space="preserve">全ての材料をフードプロセッサーに入れてピューレ状にする。</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rtl w:val="0"/>
        </w:rPr>
        <w:t xml:space="preserve">薄いトーストパンに塗って食べやすいサイズに切って出来上がり。</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rtl w:val="0"/>
        </w:rPr>
        <w:t xml:space="preserve">お好みでトップに薄くスライスしたプチトマトとセロリソルトを散らす。</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Meiry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